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21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06"/>
        <w:gridCol w:w="6508"/>
      </w:tblGrid>
      <w:tr w:rsidR="00C1745C" w:rsidRPr="0019049E" w:rsidTr="00C1745C">
        <w:trPr>
          <w:trHeight w:val="559"/>
        </w:trPr>
        <w:tc>
          <w:tcPr>
            <w:tcW w:w="2616" w:type="dxa"/>
            <w:shd w:val="clear" w:color="auto" w:fill="auto"/>
          </w:tcPr>
          <w:p w:rsidR="00C1745C" w:rsidRPr="0074133D" w:rsidRDefault="00C1745C" w:rsidP="0024261E">
            <w:pPr>
              <w:jc w:val="right"/>
              <w:rPr>
                <w:b/>
              </w:rPr>
            </w:pPr>
            <w:r w:rsidRPr="0074133D">
              <w:rPr>
                <w:b/>
              </w:rPr>
              <w:t>Theme:</w:t>
            </w:r>
          </w:p>
        </w:tc>
        <w:tc>
          <w:tcPr>
            <w:tcW w:w="6598" w:type="dxa"/>
            <w:shd w:val="clear" w:color="auto" w:fill="auto"/>
          </w:tcPr>
          <w:p w:rsidR="00C1745C" w:rsidRPr="00C1745C" w:rsidRDefault="00C1745C" w:rsidP="0024261E">
            <w:pPr>
              <w:rPr>
                <w:b/>
              </w:rPr>
            </w:pPr>
            <w:r>
              <w:rPr>
                <w:b/>
              </w:rPr>
              <w:t xml:space="preserve">The </w:t>
            </w:r>
            <w:r w:rsidRPr="0074133D">
              <w:rPr>
                <w:b/>
              </w:rPr>
              <w:t>TERENA O</w:t>
            </w:r>
            <w:r>
              <w:rPr>
                <w:b/>
              </w:rPr>
              <w:t>pen Educational Resource pilot</w:t>
            </w:r>
          </w:p>
        </w:tc>
      </w:tr>
      <w:tr w:rsidR="00C1745C" w:rsidRPr="0019049E" w:rsidTr="00C1745C">
        <w:trPr>
          <w:trHeight w:val="559"/>
        </w:trPr>
        <w:tc>
          <w:tcPr>
            <w:tcW w:w="2616" w:type="dxa"/>
            <w:shd w:val="clear" w:color="auto" w:fill="auto"/>
          </w:tcPr>
          <w:p w:rsidR="00C1745C" w:rsidRPr="009E0827" w:rsidRDefault="00C1745C" w:rsidP="0024261E">
            <w:pPr>
              <w:jc w:val="right"/>
              <w:rPr>
                <w:b/>
                <w:color w:val="FF0000"/>
              </w:rPr>
            </w:pPr>
            <w:r w:rsidRPr="009E0827">
              <w:rPr>
                <w:b/>
                <w:color w:val="FF0000"/>
              </w:rPr>
              <w:t>Abstract:</w:t>
            </w:r>
          </w:p>
        </w:tc>
        <w:tc>
          <w:tcPr>
            <w:tcW w:w="6598" w:type="dxa"/>
            <w:shd w:val="clear" w:color="auto" w:fill="auto"/>
          </w:tcPr>
          <w:p w:rsidR="00070167" w:rsidRPr="00FA6C6C" w:rsidRDefault="00070167" w:rsidP="00070167">
            <w:pPr>
              <w:jc w:val="both"/>
            </w:pPr>
            <w:r w:rsidRPr="00FA6C6C">
              <w:t>The high costs involved in the development of learning materials in their production and presentation in local institutional repositories lead</w:t>
            </w:r>
            <w:r w:rsidRPr="00FA6C6C">
              <w:t xml:space="preserve"> </w:t>
            </w:r>
            <w:r w:rsidRPr="00FA6C6C">
              <w:t xml:space="preserve">many institutions to examine ways to improve the cost-effectiveness of these materials. The implementation of open international standards and the characterization of learning objects according to widely accepted criteria contribute to the process of developing and sharing learning objects, and to the creation of a common language between content developers in different institutions, thus improving the process of creation, search and retrieval of these objects. This enables objects to be exposed to and accessed by additional audiences to whom they were not available before. </w:t>
            </w:r>
          </w:p>
          <w:p w:rsidR="00070167" w:rsidRPr="00FA6C6C" w:rsidRDefault="00070167" w:rsidP="00070167">
            <w:pPr>
              <w:jc w:val="both"/>
            </w:pPr>
            <w:r w:rsidRPr="00FA6C6C">
              <w:t xml:space="preserve">The OER (Open Education Resource) movement has become prevalent and common around the world. Organizations and institutes that are part of this movement are more willing today to share, use and reuse Learning Objects. Prominent examples are </w:t>
            </w:r>
            <w:hyperlink r:id="rId4" w:history="1">
              <w:r w:rsidRPr="00FA6C6C">
                <w:t>GLOBE</w:t>
              </w:r>
            </w:hyperlink>
            <w:r w:rsidRPr="00FA6C6C">
              <w:t>, </w:t>
            </w:r>
            <w:hyperlink r:id="rId5" w:tgtFrame="_blank" w:history="1">
              <w:r w:rsidRPr="00FA6C6C">
                <w:t>OCWC</w:t>
              </w:r>
            </w:hyperlink>
            <w:r w:rsidRPr="00FA6C6C">
              <w:t>,  </w:t>
            </w:r>
            <w:hyperlink r:id="rId6" w:tgtFrame="_blank" w:history="1">
              <w:r w:rsidRPr="00FA6C6C">
                <w:t>MIT OCW</w:t>
              </w:r>
            </w:hyperlink>
            <w:r w:rsidRPr="00FA6C6C">
              <w:t>, </w:t>
            </w:r>
            <w:hyperlink r:id="rId7" w:tgtFrame="_blank" w:history="1">
              <w:r w:rsidRPr="00FA6C6C">
                <w:t>MERLOT</w:t>
              </w:r>
            </w:hyperlink>
            <w:r w:rsidRPr="00FA6C6C">
              <w:t xml:space="preserve">, </w:t>
            </w:r>
            <w:proofErr w:type="spellStart"/>
            <w:r w:rsidRPr="00FA6C6C">
              <w:t>Ariadne</w:t>
            </w:r>
            <w:proofErr w:type="spellEnd"/>
            <w:r w:rsidRPr="00FA6C6C">
              <w:t>, and </w:t>
            </w:r>
            <w:hyperlink r:id="rId8" w:tgtFrame="_blank" w:history="1">
              <w:r w:rsidRPr="00FA6C6C">
                <w:t>MAOR</w:t>
              </w:r>
            </w:hyperlink>
            <w:r w:rsidRPr="00FA6C6C">
              <w:t xml:space="preserve"> in Israel OER provide a strategic opportunity to improve the quality of education as well as facilitate policy dialogue, knowledge sharing and capacity building. </w:t>
            </w:r>
          </w:p>
          <w:p w:rsidR="00070167" w:rsidRPr="00FA6C6C" w:rsidRDefault="00070167" w:rsidP="00070167">
            <w:pPr>
              <w:jc w:val="both"/>
            </w:pPr>
            <w:r w:rsidRPr="00FA6C6C">
              <w:t xml:space="preserve">In Europe, hundreds of universities have developed digital learning materials that are ready to be shared with other institutions. Today, most of these learning materials are in use only within the higher education institutions that developed them. </w:t>
            </w:r>
            <w:r w:rsidRPr="00FA6C6C">
              <w:t xml:space="preserve">The experience have demonstrated that international and local collaboration between different institutions contribute to the verity of available learning recourses the institutions have, reducing development costs, and promoting other collaborations between the institutions. </w:t>
            </w:r>
          </w:p>
          <w:p w:rsidR="00C1745C" w:rsidRDefault="00070167" w:rsidP="00070167">
            <w:pPr>
              <w:pBdr>
                <w:bottom w:val="single" w:sz="12" w:space="1" w:color="auto"/>
              </w:pBdr>
              <w:jc w:val="both"/>
            </w:pPr>
            <w:r w:rsidRPr="00FA6C6C">
              <w:t>T</w:t>
            </w:r>
            <w:r w:rsidRPr="00FA6C6C">
              <w:t xml:space="preserve">his </w:t>
            </w:r>
            <w:r w:rsidRPr="00FA6C6C">
              <w:t>presentation will introduce the OER-Terena initiative for higher education institutions and NERNs around the world in general, and in Europe in particular. OER-Terena project aims to create a European-wide federated repository, specially focused on audiovisual learning objects.</w:t>
            </w:r>
          </w:p>
          <w:p w:rsidR="00070167" w:rsidRDefault="00070167" w:rsidP="00070167">
            <w:pPr>
              <w:pBdr>
                <w:bottom w:val="single" w:sz="12" w:space="1" w:color="auto"/>
              </w:pBdr>
              <w:jc w:val="both"/>
            </w:pPr>
          </w:p>
          <w:p w:rsidR="00070167" w:rsidRPr="009E0827" w:rsidRDefault="00070167" w:rsidP="00070167">
            <w:pPr>
              <w:pBdr>
                <w:bottom w:val="single" w:sz="12" w:space="1" w:color="auto"/>
              </w:pBdr>
              <w:jc w:val="both"/>
              <w:rPr>
                <w:b/>
                <w:i/>
              </w:rPr>
            </w:pPr>
          </w:p>
        </w:tc>
      </w:tr>
      <w:tr w:rsidR="00C1745C" w:rsidRPr="0019049E" w:rsidTr="00C1745C">
        <w:trPr>
          <w:trHeight w:val="421"/>
        </w:trPr>
        <w:tc>
          <w:tcPr>
            <w:tcW w:w="2616" w:type="dxa"/>
            <w:shd w:val="clear" w:color="auto" w:fill="auto"/>
          </w:tcPr>
          <w:p w:rsidR="00C1745C" w:rsidRPr="003A2E2D" w:rsidRDefault="00C1745C" w:rsidP="0024261E">
            <w:pPr>
              <w:jc w:val="right"/>
              <w:rPr>
                <w:b/>
              </w:rPr>
            </w:pPr>
            <w:r w:rsidRPr="003A2E2D">
              <w:rPr>
                <w:b/>
              </w:rPr>
              <w:t>Name, surname:</w:t>
            </w:r>
          </w:p>
        </w:tc>
        <w:tc>
          <w:tcPr>
            <w:tcW w:w="6598" w:type="dxa"/>
            <w:shd w:val="clear" w:color="auto" w:fill="auto"/>
          </w:tcPr>
          <w:p w:rsidR="00C1745C" w:rsidRPr="009E0827" w:rsidRDefault="00CA0E94" w:rsidP="0024261E">
            <w:pPr>
              <w:jc w:val="both"/>
              <w:rPr>
                <w:b/>
                <w:color w:val="000000"/>
              </w:rPr>
            </w:pPr>
            <w:r>
              <w:rPr>
                <w:b/>
                <w:color w:val="000000"/>
              </w:rPr>
              <w:t>Eli Shmueli</w:t>
            </w:r>
          </w:p>
        </w:tc>
      </w:tr>
      <w:tr w:rsidR="00C1745C" w:rsidRPr="0019049E" w:rsidTr="00C1745C">
        <w:trPr>
          <w:trHeight w:val="695"/>
        </w:trPr>
        <w:tc>
          <w:tcPr>
            <w:tcW w:w="2616" w:type="dxa"/>
            <w:shd w:val="clear" w:color="auto" w:fill="auto"/>
          </w:tcPr>
          <w:p w:rsidR="00C1745C" w:rsidRPr="00C1745C" w:rsidRDefault="00C1745C" w:rsidP="0024261E">
            <w:pPr>
              <w:jc w:val="right"/>
              <w:rPr>
                <w:b/>
              </w:rPr>
            </w:pPr>
            <w:r w:rsidRPr="00C1745C">
              <w:rPr>
                <w:b/>
              </w:rPr>
              <w:t>Organization, position:</w:t>
            </w:r>
          </w:p>
        </w:tc>
        <w:tc>
          <w:tcPr>
            <w:tcW w:w="6598" w:type="dxa"/>
            <w:shd w:val="clear" w:color="auto" w:fill="auto"/>
          </w:tcPr>
          <w:p w:rsidR="00C1745C" w:rsidRDefault="00CA0E94" w:rsidP="00CA0E94">
            <w:pPr>
              <w:rPr>
                <w:b/>
              </w:rPr>
            </w:pPr>
            <w:r w:rsidRPr="00CA0E94">
              <w:rPr>
                <w:b/>
              </w:rPr>
              <w:t>IUCC- Israeli Inter-University Computation Center</w:t>
            </w:r>
            <w:r w:rsidR="00C1745C" w:rsidRPr="00C1745C">
              <w:rPr>
                <w:b/>
              </w:rPr>
              <w:t xml:space="preserve">, member of TERENA </w:t>
            </w:r>
          </w:p>
          <w:p w:rsidR="00CA0E94" w:rsidRPr="00C1745C" w:rsidRDefault="00CA0E94" w:rsidP="00CA0E94">
            <w:pPr>
              <w:rPr>
                <w:b/>
              </w:rPr>
            </w:pPr>
          </w:p>
        </w:tc>
      </w:tr>
      <w:tr w:rsidR="00C1745C" w:rsidRPr="0019049E" w:rsidTr="00C1745C">
        <w:tc>
          <w:tcPr>
            <w:tcW w:w="2616" w:type="dxa"/>
            <w:shd w:val="clear" w:color="auto" w:fill="auto"/>
          </w:tcPr>
          <w:p w:rsidR="00C1745C" w:rsidRPr="002B05B2" w:rsidRDefault="00ED6C03" w:rsidP="0024261E">
            <w:pPr>
              <w:jc w:val="right"/>
              <w:rPr>
                <w:b/>
              </w:rPr>
            </w:pPr>
            <w:r>
              <w:rPr>
                <w:b/>
                <w:noProof/>
                <w:lang w:bidi="he-IL"/>
              </w:rPr>
              <w:lastRenderedPageBreak/>
              <w:drawing>
                <wp:inline distT="0" distB="0" distL="0" distR="0">
                  <wp:extent cx="1562100" cy="1992763"/>
                  <wp:effectExtent l="19050" t="0" r="0" b="0"/>
                  <wp:docPr id="2" name="תמונה 1" descr="H:\My Doc\My Pictures\e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My Doc\My Pictures\eli.JPG"/>
                          <pic:cNvPicPr>
                            <a:picLocks noChangeAspect="1" noChangeArrowheads="1"/>
                          </pic:cNvPicPr>
                        </pic:nvPicPr>
                        <pic:blipFill>
                          <a:blip r:embed="rId9" cstate="print"/>
                          <a:srcRect/>
                          <a:stretch>
                            <a:fillRect/>
                          </a:stretch>
                        </pic:blipFill>
                        <pic:spPr bwMode="auto">
                          <a:xfrm>
                            <a:off x="0" y="0"/>
                            <a:ext cx="1562271" cy="1992981"/>
                          </a:xfrm>
                          <a:prstGeom prst="rect">
                            <a:avLst/>
                          </a:prstGeom>
                          <a:noFill/>
                          <a:ln w="9525">
                            <a:noFill/>
                            <a:miter lim="800000"/>
                            <a:headEnd/>
                            <a:tailEnd/>
                          </a:ln>
                        </pic:spPr>
                      </pic:pic>
                    </a:graphicData>
                  </a:graphic>
                </wp:inline>
              </w:drawing>
            </w:r>
          </w:p>
        </w:tc>
        <w:tc>
          <w:tcPr>
            <w:tcW w:w="6598" w:type="dxa"/>
            <w:shd w:val="clear" w:color="auto" w:fill="auto"/>
          </w:tcPr>
          <w:p w:rsidR="00FA4129" w:rsidRDefault="00FA4129" w:rsidP="00FA4129">
            <w:pPr>
              <w:jc w:val="both"/>
            </w:pPr>
            <w:r>
              <w:t xml:space="preserve">Eli is the Director of </w:t>
            </w:r>
            <w:hyperlink r:id="rId10" w:history="1">
              <w:r>
                <w:rPr>
                  <w:rStyle w:val="Hyperlink"/>
                </w:rPr>
                <w:t>IUCEL-MEITAL</w:t>
              </w:r>
            </w:hyperlink>
            <w:r>
              <w:t xml:space="preserve">, an operating unit of Israel’s </w:t>
            </w:r>
            <w:hyperlink r:id="rId11" w:history="1">
              <w:r>
                <w:rPr>
                  <w:rStyle w:val="Hyperlink"/>
                </w:rPr>
                <w:t>Israeli Inter-University Computation Center</w:t>
              </w:r>
              <w:r>
                <w:rPr>
                  <w:rStyle w:val="Hyperlink"/>
                  <w:rFonts w:ascii="Arial" w:hAnsi="Arial" w:cs="Arial"/>
                  <w:sz w:val="20"/>
                  <w:szCs w:val="20"/>
                </w:rPr>
                <w:t xml:space="preserve"> (IUCC)</w:t>
              </w:r>
            </w:hyperlink>
            <w:r>
              <w:t xml:space="preserve">. Eli has decades of experience in developing and implementing e-learning technologies in Israel’s universities and colleges and in industry. He is responsible for initiating the integration of pioneering technologies by creating opportunities for collaboration with international and national organizations promoting OER usage, such as GLOBE, MERLOT and OCW-C. He leads the </w:t>
            </w:r>
            <w:hyperlink r:id="rId12" w:history="1">
              <w:r>
                <w:rPr>
                  <w:rStyle w:val="Hyperlink"/>
                </w:rPr>
                <w:t>MAOR</w:t>
              </w:r>
            </w:hyperlink>
            <w:r>
              <w:t xml:space="preserve"> project, a national repository of online learning object meta-data, and well known for his expertise in OER standards. He plays a vital role in achieving the national goals of this prestigious project by implementing this platform for locating online peer-reviewed educational resources, and making them available to educational institutes, public organizations, educators and the general public.</w:t>
            </w:r>
          </w:p>
          <w:p w:rsidR="00CA0E94" w:rsidRPr="002B05B2" w:rsidRDefault="00CA0E94" w:rsidP="006E0BA4">
            <w:pPr>
              <w:jc w:val="both"/>
            </w:pPr>
          </w:p>
        </w:tc>
      </w:tr>
      <w:tr w:rsidR="00C1745C" w:rsidRPr="0019049E" w:rsidTr="00C1745C">
        <w:tc>
          <w:tcPr>
            <w:tcW w:w="2616" w:type="dxa"/>
            <w:shd w:val="clear" w:color="auto" w:fill="auto"/>
          </w:tcPr>
          <w:p w:rsidR="00C1745C" w:rsidRPr="00C1745C" w:rsidRDefault="00AF6924" w:rsidP="0024261E">
            <w:pPr>
              <w:jc w:val="right"/>
              <w:rPr>
                <w:b/>
              </w:rPr>
            </w:pPr>
            <w:r>
              <w:rPr>
                <w:b/>
              </w:rPr>
              <w:t>Statu</w:t>
            </w:r>
            <w:r w:rsidR="00C1745C" w:rsidRPr="00C1745C">
              <w:rPr>
                <w:b/>
              </w:rPr>
              <w:t>s:</w:t>
            </w:r>
          </w:p>
        </w:tc>
        <w:tc>
          <w:tcPr>
            <w:tcW w:w="6598" w:type="dxa"/>
            <w:shd w:val="clear" w:color="auto" w:fill="auto"/>
          </w:tcPr>
          <w:p w:rsidR="00C1745C" w:rsidRPr="00C1745C" w:rsidRDefault="00C1745C" w:rsidP="0024261E">
            <w:pPr>
              <w:rPr>
                <w:b/>
              </w:rPr>
            </w:pPr>
            <w:r w:rsidRPr="00C1745C">
              <w:rPr>
                <w:b/>
              </w:rPr>
              <w:t>Agreed</w:t>
            </w:r>
          </w:p>
        </w:tc>
      </w:tr>
      <w:tr w:rsidR="00C1745C" w:rsidRPr="0019049E" w:rsidTr="00C1745C">
        <w:tc>
          <w:tcPr>
            <w:tcW w:w="2616" w:type="dxa"/>
            <w:shd w:val="clear" w:color="auto" w:fill="auto"/>
          </w:tcPr>
          <w:p w:rsidR="00C1745C" w:rsidRPr="000F681A" w:rsidRDefault="00C1745C" w:rsidP="0024261E">
            <w:pPr>
              <w:jc w:val="right"/>
              <w:rPr>
                <w:b/>
              </w:rPr>
            </w:pPr>
            <w:r w:rsidRPr="000F681A">
              <w:rPr>
                <w:b/>
              </w:rPr>
              <w:t>E-mail:</w:t>
            </w:r>
          </w:p>
        </w:tc>
        <w:tc>
          <w:tcPr>
            <w:tcW w:w="6598" w:type="dxa"/>
            <w:shd w:val="clear" w:color="auto" w:fill="auto"/>
          </w:tcPr>
          <w:p w:rsidR="00C1745C" w:rsidRDefault="0055183D" w:rsidP="0024261E">
            <w:hyperlink r:id="rId13" w:history="1">
              <w:r w:rsidR="00CA0E94" w:rsidRPr="00840C6C">
                <w:rPr>
                  <w:rStyle w:val="Hyperlink"/>
                </w:rPr>
                <w:t>eli@mail.iucc.ac.il</w:t>
              </w:r>
            </w:hyperlink>
          </w:p>
          <w:p w:rsidR="00CA0E94" w:rsidRPr="00224C5D" w:rsidRDefault="00CA0E94" w:rsidP="0024261E">
            <w:pPr>
              <w:rPr>
                <w:i/>
                <w:color w:val="FF0000"/>
              </w:rPr>
            </w:pPr>
          </w:p>
        </w:tc>
      </w:tr>
      <w:tr w:rsidR="00C1745C" w:rsidRPr="0019049E" w:rsidTr="00C1745C">
        <w:tc>
          <w:tcPr>
            <w:tcW w:w="2616" w:type="dxa"/>
            <w:shd w:val="clear" w:color="auto" w:fill="auto"/>
          </w:tcPr>
          <w:p w:rsidR="00C1745C" w:rsidRPr="00E425CE" w:rsidRDefault="00C1745C" w:rsidP="0024261E">
            <w:pPr>
              <w:jc w:val="right"/>
              <w:rPr>
                <w:b/>
              </w:rPr>
            </w:pPr>
            <w:r w:rsidRPr="00E425CE">
              <w:rPr>
                <w:b/>
              </w:rPr>
              <w:t>Telephone:</w:t>
            </w:r>
          </w:p>
        </w:tc>
        <w:tc>
          <w:tcPr>
            <w:tcW w:w="6598" w:type="dxa"/>
            <w:shd w:val="clear" w:color="auto" w:fill="auto"/>
          </w:tcPr>
          <w:p w:rsidR="00C1745C" w:rsidRPr="002B05B2" w:rsidRDefault="00C1745C" w:rsidP="00A84D6A">
            <w:pPr>
              <w:rPr>
                <w:color w:val="FF0000"/>
              </w:rPr>
            </w:pPr>
            <w:r>
              <w:t>+</w:t>
            </w:r>
            <w:r w:rsidR="00A84D6A">
              <w:t>972-3-6460550</w:t>
            </w:r>
          </w:p>
        </w:tc>
      </w:tr>
      <w:tr w:rsidR="00C1745C" w:rsidRPr="0019049E" w:rsidTr="00C1745C">
        <w:trPr>
          <w:trHeight w:val="77"/>
        </w:trPr>
        <w:tc>
          <w:tcPr>
            <w:tcW w:w="2616" w:type="dxa"/>
            <w:shd w:val="clear" w:color="auto" w:fill="auto"/>
          </w:tcPr>
          <w:p w:rsidR="00C1745C" w:rsidRPr="00E425CE" w:rsidRDefault="00C1745C" w:rsidP="0024261E">
            <w:pPr>
              <w:jc w:val="right"/>
              <w:rPr>
                <w:b/>
              </w:rPr>
            </w:pPr>
            <w:r w:rsidRPr="00E425CE">
              <w:rPr>
                <w:b/>
              </w:rPr>
              <w:t>Address:</w:t>
            </w:r>
          </w:p>
        </w:tc>
        <w:tc>
          <w:tcPr>
            <w:tcW w:w="6598" w:type="dxa"/>
            <w:shd w:val="clear" w:color="auto" w:fill="auto"/>
          </w:tcPr>
          <w:p w:rsidR="00A84D6A" w:rsidRPr="00A84D6A" w:rsidRDefault="00A84D6A" w:rsidP="00A84D6A">
            <w:pPr>
              <w:pStyle w:val="NormalWeb"/>
              <w:rPr>
                <w:rFonts w:ascii="Cambria" w:eastAsia="MS Mincho" w:hAnsi="Cambria"/>
                <w:lang w:bidi="ar-SA"/>
              </w:rPr>
            </w:pPr>
            <w:r w:rsidRPr="00A84D6A">
              <w:rPr>
                <w:rFonts w:ascii="Cambria" w:eastAsia="MS Mincho" w:hAnsi="Cambria"/>
                <w:lang w:bidi="ar-SA"/>
              </w:rPr>
              <w:t>IUCC</w:t>
            </w:r>
          </w:p>
          <w:p w:rsidR="00A84D6A" w:rsidRPr="00A84D6A" w:rsidRDefault="00A84D6A" w:rsidP="00A84D6A">
            <w:pPr>
              <w:pStyle w:val="NormalWeb"/>
              <w:rPr>
                <w:rFonts w:ascii="Cambria" w:eastAsia="MS Mincho" w:hAnsi="Cambria"/>
                <w:lang w:bidi="ar-SA"/>
              </w:rPr>
            </w:pPr>
            <w:r w:rsidRPr="00A84D6A">
              <w:rPr>
                <w:rFonts w:ascii="Cambria" w:eastAsia="MS Mincho" w:hAnsi="Cambria"/>
                <w:lang w:bidi="ar-SA"/>
              </w:rPr>
              <w:t>Tel Aviv University</w:t>
            </w:r>
          </w:p>
          <w:p w:rsidR="00A84D6A" w:rsidRPr="00A84D6A" w:rsidRDefault="00A84D6A" w:rsidP="00A84D6A">
            <w:pPr>
              <w:pStyle w:val="NormalWeb"/>
              <w:rPr>
                <w:rFonts w:ascii="Cambria" w:eastAsia="MS Mincho" w:hAnsi="Cambria"/>
                <w:lang w:bidi="ar-SA"/>
              </w:rPr>
            </w:pPr>
            <w:r w:rsidRPr="00A84D6A">
              <w:rPr>
                <w:rFonts w:ascii="Cambria" w:eastAsia="MS Mincho" w:hAnsi="Cambria"/>
                <w:lang w:bidi="ar-SA"/>
              </w:rPr>
              <w:t xml:space="preserve">69978 Tel Aviv </w:t>
            </w:r>
          </w:p>
          <w:p w:rsidR="00A84D6A" w:rsidRPr="00A84D6A" w:rsidRDefault="00A84D6A" w:rsidP="00A84D6A">
            <w:pPr>
              <w:pStyle w:val="NormalWeb"/>
              <w:rPr>
                <w:rFonts w:ascii="Arial" w:hAnsi="Arial" w:cs="Arial"/>
                <w:sz w:val="20"/>
                <w:szCs w:val="20"/>
              </w:rPr>
            </w:pPr>
            <w:r w:rsidRPr="00A84D6A">
              <w:rPr>
                <w:rFonts w:ascii="Cambria" w:eastAsia="MS Mincho" w:hAnsi="Cambria"/>
                <w:lang w:bidi="ar-SA"/>
              </w:rPr>
              <w:t>Israel</w:t>
            </w:r>
            <w:r w:rsidRPr="00A84D6A">
              <w:rPr>
                <w:rStyle w:val="a5"/>
                <w:rFonts w:ascii="Arial" w:hAnsi="Arial" w:cs="Arial"/>
                <w:b w:val="0"/>
                <w:bCs w:val="0"/>
              </w:rPr>
              <w:t xml:space="preserve"> </w:t>
            </w:r>
          </w:p>
          <w:p w:rsidR="00A84D6A" w:rsidRPr="00A84D6A" w:rsidRDefault="00A84D6A" w:rsidP="0024261E">
            <w:pPr>
              <w:rPr>
                <w:lang w:val="lv-LV"/>
              </w:rPr>
            </w:pPr>
          </w:p>
        </w:tc>
      </w:tr>
    </w:tbl>
    <w:p w:rsidR="00E20CF9" w:rsidRDefault="00E20CF9"/>
    <w:sectPr w:rsidR="00E20CF9" w:rsidSect="000A0061">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C1745C"/>
    <w:rsid w:val="00070167"/>
    <w:rsid w:val="000A0061"/>
    <w:rsid w:val="00153D2F"/>
    <w:rsid w:val="003B0434"/>
    <w:rsid w:val="0055183D"/>
    <w:rsid w:val="006121FC"/>
    <w:rsid w:val="006E0BA4"/>
    <w:rsid w:val="007A39AB"/>
    <w:rsid w:val="00A84D6A"/>
    <w:rsid w:val="00AF6924"/>
    <w:rsid w:val="00C1745C"/>
    <w:rsid w:val="00C3672F"/>
    <w:rsid w:val="00CA0E94"/>
    <w:rsid w:val="00CC13E3"/>
    <w:rsid w:val="00DE01C3"/>
    <w:rsid w:val="00E20CF9"/>
    <w:rsid w:val="00ED6C03"/>
    <w:rsid w:val="00F44D6F"/>
    <w:rsid w:val="00FA4129"/>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745C"/>
    <w:pPr>
      <w:spacing w:after="0" w:line="240" w:lineRule="auto"/>
    </w:pPr>
    <w:rPr>
      <w:rFonts w:ascii="Cambria" w:eastAsia="MS Mincho" w:hAnsi="Cambria" w:cs="Times New Roman"/>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uiPriority w:val="99"/>
    <w:unhideWhenUsed/>
    <w:rsid w:val="00C1745C"/>
    <w:rPr>
      <w:color w:val="0000FF"/>
      <w:u w:val="single"/>
    </w:rPr>
  </w:style>
  <w:style w:type="paragraph" w:styleId="a3">
    <w:name w:val="Balloon Text"/>
    <w:basedOn w:val="a"/>
    <w:link w:val="a4"/>
    <w:uiPriority w:val="99"/>
    <w:semiHidden/>
    <w:unhideWhenUsed/>
    <w:rsid w:val="00C1745C"/>
    <w:rPr>
      <w:rFonts w:ascii="Tahoma" w:hAnsi="Tahoma" w:cs="Tahoma"/>
      <w:sz w:val="16"/>
      <w:szCs w:val="16"/>
    </w:rPr>
  </w:style>
  <w:style w:type="character" w:customStyle="1" w:styleId="a4">
    <w:name w:val="טקסט בלונים תו"/>
    <w:basedOn w:val="a0"/>
    <w:link w:val="a3"/>
    <w:uiPriority w:val="99"/>
    <w:semiHidden/>
    <w:rsid w:val="00C1745C"/>
    <w:rPr>
      <w:rFonts w:ascii="Tahoma" w:eastAsia="MS Mincho" w:hAnsi="Tahoma" w:cs="Tahoma"/>
      <w:sz w:val="16"/>
      <w:szCs w:val="16"/>
      <w:lang w:val="en-US"/>
    </w:rPr>
  </w:style>
  <w:style w:type="paragraph" w:styleId="NormalWeb">
    <w:name w:val="Normal (Web)"/>
    <w:basedOn w:val="a"/>
    <w:uiPriority w:val="99"/>
    <w:semiHidden/>
    <w:unhideWhenUsed/>
    <w:rsid w:val="00A84D6A"/>
    <w:rPr>
      <w:rFonts w:ascii="Times New Roman" w:eastAsia="Times New Roman" w:hAnsi="Times New Roman"/>
      <w:lang w:bidi="he-IL"/>
    </w:rPr>
  </w:style>
  <w:style w:type="character" w:styleId="a5">
    <w:name w:val="Strong"/>
    <w:basedOn w:val="a0"/>
    <w:uiPriority w:val="22"/>
    <w:qFormat/>
    <w:rsid w:val="00A84D6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45C"/>
    <w:pPr>
      <w:spacing w:after="0" w:line="240" w:lineRule="auto"/>
    </w:pPr>
    <w:rPr>
      <w:rFonts w:ascii="Cambria" w:eastAsia="MS Mincho" w:hAnsi="Cambria"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C1745C"/>
    <w:rPr>
      <w:color w:val="0000FF"/>
      <w:u w:val="single"/>
    </w:rPr>
  </w:style>
  <w:style w:type="paragraph" w:styleId="BalloonText">
    <w:name w:val="Balloon Text"/>
    <w:basedOn w:val="Normal"/>
    <w:link w:val="BalloonTextChar"/>
    <w:uiPriority w:val="99"/>
    <w:semiHidden/>
    <w:unhideWhenUsed/>
    <w:rsid w:val="00C1745C"/>
    <w:rPr>
      <w:rFonts w:ascii="Tahoma" w:hAnsi="Tahoma" w:cs="Tahoma"/>
      <w:sz w:val="16"/>
      <w:szCs w:val="16"/>
    </w:rPr>
  </w:style>
  <w:style w:type="character" w:customStyle="1" w:styleId="BalloonTextChar">
    <w:name w:val="Balloon Text Char"/>
    <w:basedOn w:val="DefaultParagraphFont"/>
    <w:link w:val="BalloonText"/>
    <w:uiPriority w:val="99"/>
    <w:semiHidden/>
    <w:rsid w:val="00C1745C"/>
    <w:rPr>
      <w:rFonts w:ascii="Tahoma" w:eastAsia="MS Mincho"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divs>
    <w:div w:id="410350357">
      <w:bodyDiv w:val="1"/>
      <w:marLeft w:val="0"/>
      <w:marRight w:val="0"/>
      <w:marTop w:val="0"/>
      <w:marBottom w:val="0"/>
      <w:divBdr>
        <w:top w:val="none" w:sz="0" w:space="0" w:color="auto"/>
        <w:left w:val="none" w:sz="0" w:space="0" w:color="auto"/>
        <w:bottom w:val="none" w:sz="0" w:space="0" w:color="auto"/>
        <w:right w:val="none" w:sz="0" w:space="0" w:color="auto"/>
      </w:divBdr>
    </w:div>
    <w:div w:id="736367530">
      <w:bodyDiv w:val="1"/>
      <w:marLeft w:val="0"/>
      <w:marRight w:val="0"/>
      <w:marTop w:val="0"/>
      <w:marBottom w:val="0"/>
      <w:divBdr>
        <w:top w:val="none" w:sz="0" w:space="0" w:color="auto"/>
        <w:left w:val="none" w:sz="0" w:space="0" w:color="auto"/>
        <w:bottom w:val="none" w:sz="0" w:space="0" w:color="auto"/>
        <w:right w:val="none" w:sz="0" w:space="0" w:color="auto"/>
      </w:divBdr>
    </w:div>
    <w:div w:id="1323968395">
      <w:bodyDiv w:val="1"/>
      <w:marLeft w:val="0"/>
      <w:marRight w:val="0"/>
      <w:marTop w:val="0"/>
      <w:marBottom w:val="0"/>
      <w:divBdr>
        <w:top w:val="none" w:sz="0" w:space="0" w:color="auto"/>
        <w:left w:val="none" w:sz="0" w:space="0" w:color="auto"/>
        <w:bottom w:val="none" w:sz="0" w:space="0" w:color="auto"/>
        <w:right w:val="none" w:sz="0" w:space="0" w:color="auto"/>
      </w:divBdr>
      <w:divsChild>
        <w:div w:id="985747173">
          <w:marLeft w:val="0"/>
          <w:marRight w:val="0"/>
          <w:marTop w:val="0"/>
          <w:marBottom w:val="0"/>
          <w:divBdr>
            <w:top w:val="none" w:sz="0" w:space="0" w:color="auto"/>
            <w:left w:val="none" w:sz="0" w:space="0" w:color="auto"/>
            <w:bottom w:val="none" w:sz="0" w:space="0" w:color="auto"/>
            <w:right w:val="none" w:sz="0" w:space="0" w:color="auto"/>
          </w:divBdr>
          <w:divsChild>
            <w:div w:id="154220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aor.iucc.ac.il/about_en.php" TargetMode="External"/><Relationship Id="rId13" Type="http://schemas.openxmlformats.org/officeDocument/2006/relationships/hyperlink" Target="mailto:eli@mail.iucc.ac.il" TargetMode="External"/><Relationship Id="rId3" Type="http://schemas.openxmlformats.org/officeDocument/2006/relationships/webSettings" Target="webSettings.xml"/><Relationship Id="rId7" Type="http://schemas.openxmlformats.org/officeDocument/2006/relationships/hyperlink" Target="http://www.merlot.org/merlot/" TargetMode="External"/><Relationship Id="rId12" Type="http://schemas.openxmlformats.org/officeDocument/2006/relationships/hyperlink" Target="http://maor.iucc.ac.il/" TargetMode="External"/><Relationship Id="rId2" Type="http://schemas.openxmlformats.org/officeDocument/2006/relationships/settings" Target="settings.xml"/><Relationship Id="rId16"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ocw.mit.edu/index.htm" TargetMode="External"/><Relationship Id="rId11" Type="http://schemas.openxmlformats.org/officeDocument/2006/relationships/hyperlink" Target="http://www.iucc.ac.il/" TargetMode="External"/><Relationship Id="rId5" Type="http://schemas.openxmlformats.org/officeDocument/2006/relationships/hyperlink" Target="https://creativecommons.org/tag/ocwc" TargetMode="External"/><Relationship Id="rId15" Type="http://schemas.openxmlformats.org/officeDocument/2006/relationships/theme" Target="theme/theme1.xml"/><Relationship Id="rId10" Type="http://schemas.openxmlformats.org/officeDocument/2006/relationships/hyperlink" Target="http://meital.iucc.ac.il/" TargetMode="External"/><Relationship Id="rId4" Type="http://schemas.openxmlformats.org/officeDocument/2006/relationships/hyperlink" Target="http://globe-info.org" TargetMode="Externa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543</Words>
  <Characters>3098</Characters>
  <Application>Microsoft Office Word</Application>
  <DocSecurity>0</DocSecurity>
  <Lines>25</Lines>
  <Paragraphs>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ZC00008</dc:creator>
  <cp:lastModifiedBy>Eli</cp:lastModifiedBy>
  <cp:revision>2</cp:revision>
  <dcterms:created xsi:type="dcterms:W3CDTF">2013-05-29T14:23:00Z</dcterms:created>
  <dcterms:modified xsi:type="dcterms:W3CDTF">2013-05-29T14:23:00Z</dcterms:modified>
</cp:coreProperties>
</file>